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B6" w:rsidRDefault="00E566C4">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3844290</wp:posOffset>
                </wp:positionH>
                <wp:positionV relativeFrom="paragraph">
                  <wp:posOffset>636</wp:posOffset>
                </wp:positionV>
                <wp:extent cx="2686050" cy="13716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2686050" cy="1371600"/>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E566C4" w:rsidRDefault="00E566C4" w:rsidP="00E566C4">
                            <w:pPr>
                              <w:jc w:val="center"/>
                            </w:pPr>
                            <w:r>
                              <w:t>Les jardins familiaux blanquefortais</w:t>
                            </w:r>
                          </w:p>
                          <w:p w:rsidR="00E566C4" w:rsidRDefault="00E566C4" w:rsidP="00E566C4">
                            <w:pPr>
                              <w:jc w:val="center"/>
                            </w:pPr>
                            <w:r>
                              <w:t xml:space="preserve">Rue de la forteresse </w:t>
                            </w:r>
                          </w:p>
                          <w:p w:rsidR="00E566C4" w:rsidRDefault="00E566C4" w:rsidP="00E566C4">
                            <w:pPr>
                              <w:jc w:val="center"/>
                            </w:pPr>
                            <w:r>
                              <w:t>Blanquefort 33290</w:t>
                            </w:r>
                          </w:p>
                          <w:p w:rsidR="00E566C4" w:rsidRDefault="00E566C4" w:rsidP="00E566C4">
                            <w:pPr>
                              <w:jc w:val="center"/>
                            </w:pPr>
                            <w:r>
                              <w:t>www.jardins-familiaux-blanquefortais.fr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302.7pt;margin-top:.05pt;width:21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" fillcolor="white [3201]" strokecolor="#9bbb59 [3206]" strokeweight="2pt">
                <v:textbox>
                  <w:txbxContent>
                    <w:p w:rsidR="00E566C4" w:rsidRDefault="00E566C4" w:rsidP="00E566C4">
                      <w:pPr>
                        <w:jc w:val="center"/>
                      </w:pPr>
                      <w:r>
                        <w:t>Les jardins familiaux blanquefortais</w:t>
                      </w:r>
                    </w:p>
                    <w:p w:rsidR="00E566C4" w:rsidRDefault="00E566C4" w:rsidP="00E566C4">
                      <w:pPr>
                        <w:jc w:val="center"/>
                      </w:pPr>
                      <w:r>
                        <w:t xml:space="preserve">Rue de la forteresse </w:t>
                      </w:r>
                    </w:p>
                    <w:p w:rsidR="00E566C4" w:rsidRDefault="00E566C4" w:rsidP="00E566C4">
                      <w:pPr>
                        <w:jc w:val="center"/>
                      </w:pPr>
                      <w:r>
                        <w:t>Blanquefort 33290</w:t>
                      </w:r>
                    </w:p>
                    <w:p w:rsidR="00E566C4" w:rsidRDefault="00E566C4" w:rsidP="00E566C4">
                      <w:pPr>
                        <w:jc w:val="center"/>
                      </w:pPr>
                      <w:r>
                        <w:t>www.jardins-familiaux-blanquefortais.fr</w:t>
                      </w:r>
                    </w:p>
                  </w:txbxContent>
                </v:textbox>
              </v:roundrect>
            </w:pict>
          </mc:Fallback>
        </mc:AlternateContent>
      </w:r>
      <w:r>
        <w:rPr>
          <w:noProof/>
          <w:lang w:eastAsia="fr-FR"/>
        </w:rPr>
        <w:drawing>
          <wp:inline distT="0" distB="0" distL="0" distR="0">
            <wp:extent cx="1667435" cy="1371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FB.jpg"/>
                    <pic:cNvPicPr/>
                  </pic:nvPicPr>
                  <pic:blipFill>
                    <a:blip r:embed="rId4">
                      <a:extLst>
                        <a:ext uri="{28A0092B-C50C-407E-A947-70E740481C1C}">
                          <a14:useLocalDpi xmlns:a14="http://schemas.microsoft.com/office/drawing/2010/main" val="0"/>
                        </a:ext>
                      </a:extLst>
                    </a:blip>
                    <a:stretch>
                      <a:fillRect/>
                    </a:stretch>
                  </pic:blipFill>
                  <pic:spPr>
                    <a:xfrm>
                      <a:off x="0" y="0"/>
                      <a:ext cx="1667435" cy="1371600"/>
                    </a:xfrm>
                    <a:prstGeom prst="rect">
                      <a:avLst/>
                    </a:prstGeom>
                  </pic:spPr>
                </pic:pic>
              </a:graphicData>
            </a:graphic>
          </wp:inline>
        </w:drawing>
      </w:r>
      <w:r>
        <w:t xml:space="preserve">      </w:t>
      </w:r>
    </w:p>
    <w:p w:rsidR="00E566C4" w:rsidRDefault="00E566C4"/>
    <w:p w:rsidR="00E566C4" w:rsidRDefault="00E566C4">
      <w:pPr>
        <w:rPr>
          <w:b/>
          <w:sz w:val="36"/>
          <w:szCs w:val="36"/>
        </w:rPr>
      </w:pPr>
      <w:r>
        <w:rPr>
          <w:b/>
          <w:sz w:val="36"/>
          <w:szCs w:val="36"/>
        </w:rPr>
        <w:t xml:space="preserve">                  </w:t>
      </w:r>
      <w:r w:rsidR="00271FCB">
        <w:rPr>
          <w:b/>
          <w:sz w:val="36"/>
          <w:szCs w:val="36"/>
        </w:rPr>
        <w:t xml:space="preserve">          Lutter</w:t>
      </w:r>
      <w:r w:rsidRPr="00E566C4">
        <w:rPr>
          <w:b/>
          <w:sz w:val="36"/>
          <w:szCs w:val="36"/>
        </w:rPr>
        <w:t xml:space="preserve"> contre notre ennemi le MILDIOU</w:t>
      </w:r>
      <w:r w:rsidR="00271FCB">
        <w:rPr>
          <w:b/>
          <w:sz w:val="36"/>
          <w:szCs w:val="36"/>
        </w:rPr>
        <w:t> !</w:t>
      </w:r>
    </w:p>
    <w:p w:rsidR="00E566C4" w:rsidRPr="00E566C4" w:rsidRDefault="00E566C4">
      <w:pPr>
        <w:rPr>
          <w:b/>
          <w:sz w:val="36"/>
          <w:szCs w:val="36"/>
          <w:u w:val="single"/>
        </w:rPr>
      </w:pPr>
      <w:r>
        <w:rPr>
          <w:b/>
          <w:sz w:val="36"/>
          <w:szCs w:val="36"/>
        </w:rPr>
        <w:t xml:space="preserve">                                    </w:t>
      </w:r>
      <w:r w:rsidRPr="00E566C4">
        <w:rPr>
          <w:b/>
          <w:sz w:val="36"/>
          <w:szCs w:val="36"/>
          <w:u w:val="single"/>
        </w:rPr>
        <w:t>Zoom sur le Bicarbonate de soude</w:t>
      </w:r>
    </w:p>
    <w:p w:rsidR="00E566C4" w:rsidRDefault="00E566C4">
      <w:pPr>
        <w:rPr>
          <w:b/>
        </w:rPr>
      </w:pPr>
      <w:r>
        <w:t xml:space="preserve">Dans la lutte préventive contre le mildiou de la tomate, un grand nombre de témoignages citent les bienfaits du bicarbonate de soude comme produit efficace. Quel soulagement pour les jardiniers car on à la un </w:t>
      </w:r>
      <w:r>
        <w:rPr>
          <w:b/>
        </w:rPr>
        <w:t>produit économique, biodégradable et non toxique pour</w:t>
      </w:r>
      <w:r w:rsidR="00142379">
        <w:rPr>
          <w:b/>
        </w:rPr>
        <w:t xml:space="preserve"> l’environnement et pour la santé.</w:t>
      </w:r>
    </w:p>
    <w:p w:rsidR="002E09FB" w:rsidRPr="00652050" w:rsidRDefault="00350AC0">
      <w:pPr>
        <w:rPr>
          <w:b/>
          <w:color w:val="4F6228" w:themeColor="accent3" w:themeShade="80"/>
          <w:sz w:val="28"/>
          <w:szCs w:val="28"/>
          <w:u w:val="single"/>
        </w:rPr>
      </w:pPr>
      <w:r w:rsidRPr="002D40B1">
        <w:rPr>
          <w:b/>
          <w:color w:val="4F6228" w:themeColor="accent3" w:themeShade="80"/>
          <w:sz w:val="28"/>
          <w:szCs w:val="28"/>
          <w:u w:val="double"/>
        </w:rPr>
        <w:t>Comment agit le bicar</w:t>
      </w:r>
      <w:r w:rsidR="002D40B1" w:rsidRPr="002D40B1">
        <w:rPr>
          <w:b/>
          <w:color w:val="4F6228" w:themeColor="accent3" w:themeShade="80"/>
          <w:sz w:val="28"/>
          <w:szCs w:val="28"/>
          <w:u w:val="double"/>
        </w:rPr>
        <w:t>bonate de soude sur le MILDIOU ?</w:t>
      </w:r>
      <w:r w:rsidR="00E97593">
        <w:rPr>
          <w:color w:val="4F6228" w:themeColor="accent3" w:themeShade="80"/>
          <w:sz w:val="28"/>
          <w:szCs w:val="28"/>
        </w:rPr>
        <w:t xml:space="preserve">  </w:t>
      </w:r>
      <w:r w:rsidR="00C81692">
        <w:t>Le BICARBONATE</w:t>
      </w:r>
      <w:r w:rsidR="002E09FB">
        <w:t xml:space="preserve"> de soude </w:t>
      </w:r>
      <w:r w:rsidR="002D40B1">
        <w:t>à</w:t>
      </w:r>
      <w:r w:rsidR="002E09FB">
        <w:t xml:space="preserve"> de nombreuses propriétés dont l’une est de ne</w:t>
      </w:r>
      <w:r w:rsidR="00206A86">
        <w:t xml:space="preserve">utraliser l’acidité d’un milieu </w:t>
      </w:r>
      <w:r w:rsidR="00206A86" w:rsidRPr="00206A86">
        <w:t>et</w:t>
      </w:r>
      <w:r w:rsidR="00206A86">
        <w:t xml:space="preserve"> l</w:t>
      </w:r>
      <w:r w:rsidR="002E09FB">
        <w:t>e Mildiou a besoin d’acidité pour se développer.</w:t>
      </w:r>
    </w:p>
    <w:p w:rsidR="002E09FB" w:rsidRDefault="00206A86">
      <w:r>
        <w:t>En</w:t>
      </w:r>
      <w:r w:rsidR="002E09FB">
        <w:t xml:space="preserve"> neutralisant</w:t>
      </w:r>
      <w:r>
        <w:t xml:space="preserve"> l’</w:t>
      </w:r>
      <w:r w:rsidR="00FF25BB">
        <w:t>acidité</w:t>
      </w:r>
      <w:r>
        <w:t xml:space="preserve"> le bicarbonate</w:t>
      </w:r>
      <w:r w:rsidR="00FF25BB">
        <w:t xml:space="preserve"> modifie les conditions optimales du développement du MILDIOU.</w:t>
      </w:r>
    </w:p>
    <w:p w:rsidR="00FF25BB" w:rsidRDefault="00FF25BB">
      <w:r>
        <w:t>D’où une action fongistatique (</w:t>
      </w:r>
      <w:r w:rsidR="007D0ED3">
        <w:t>qui empêche le champignon de se développer) et non (fongicide qui tue le Champignon).</w:t>
      </w:r>
    </w:p>
    <w:p w:rsidR="00C81692" w:rsidRDefault="00430EA7">
      <w:r>
        <w:t>Son</w:t>
      </w:r>
      <w:r w:rsidR="00C81692">
        <w:t xml:space="preserve"> </w:t>
      </w:r>
      <w:r w:rsidR="00C81692" w:rsidRPr="00652050">
        <w:rPr>
          <w:b/>
        </w:rPr>
        <w:t>utilisation</w:t>
      </w:r>
      <w:r w:rsidR="00C81692">
        <w:t xml:space="preserve"> est donc</w:t>
      </w:r>
      <w:r w:rsidR="00C81692" w:rsidRPr="00652050">
        <w:rPr>
          <w:b/>
        </w:rPr>
        <w:t xml:space="preserve"> préventive </w:t>
      </w:r>
      <w:r w:rsidR="00C81692">
        <w:t>et non curati</w:t>
      </w:r>
      <w:r>
        <w:t xml:space="preserve">ve et le résultat est </w:t>
      </w:r>
      <w:r w:rsidR="00271FCB" w:rsidRPr="00652050">
        <w:rPr>
          <w:b/>
        </w:rPr>
        <w:t>prometteur</w:t>
      </w:r>
      <w:r>
        <w:t>.</w:t>
      </w:r>
    </w:p>
    <w:p w:rsidR="00430EA7" w:rsidRPr="00E97593" w:rsidRDefault="00271FCB">
      <w:pPr>
        <w:rPr>
          <w:b/>
          <w:color w:val="4F6228" w:themeColor="accent3" w:themeShade="80"/>
          <w:sz w:val="28"/>
          <w:szCs w:val="28"/>
          <w:u w:val="single"/>
        </w:rPr>
      </w:pPr>
      <w:r w:rsidRPr="002D40B1">
        <w:rPr>
          <w:b/>
          <w:color w:val="4F6228" w:themeColor="accent3" w:themeShade="80"/>
          <w:sz w:val="28"/>
          <w:szCs w:val="28"/>
          <w:u w:val="double"/>
        </w:rPr>
        <w:t>Quel bicarbonate </w:t>
      </w:r>
      <w:r w:rsidR="002D40B1" w:rsidRPr="002D40B1">
        <w:rPr>
          <w:b/>
          <w:color w:val="4F6228" w:themeColor="accent3" w:themeShade="80"/>
          <w:sz w:val="28"/>
          <w:szCs w:val="28"/>
          <w:u w:val="double"/>
        </w:rPr>
        <w:t>:</w:t>
      </w:r>
      <w:r w:rsidR="002D40B1">
        <w:rPr>
          <w:color w:val="4F6228" w:themeColor="accent3" w:themeShade="80"/>
          <w:sz w:val="28"/>
          <w:szCs w:val="28"/>
        </w:rPr>
        <w:t xml:space="preserve"> </w:t>
      </w:r>
      <w:r w:rsidR="002D40B1" w:rsidRPr="002D40B1">
        <w:t>Pour</w:t>
      </w:r>
      <w:r>
        <w:t xml:space="preserve"> le jardin le bicarbonate de soude technique fera l’affaire. Mais vu la quantité d’usage possible (en cuisine) ça vaut peut-être le coup de prendre une qualité alimentaire facile à se procurer en grande surfaces au rayon sels ou lessives.</w:t>
      </w:r>
    </w:p>
    <w:p w:rsidR="00652050" w:rsidRPr="00E97593" w:rsidRDefault="00271FCB">
      <w:pPr>
        <w:rPr>
          <w:b/>
          <w:color w:val="4F6228" w:themeColor="accent3" w:themeShade="80"/>
          <w:sz w:val="28"/>
          <w:szCs w:val="28"/>
          <w:u w:val="single"/>
        </w:rPr>
      </w:pPr>
      <w:r w:rsidRPr="002D40B1">
        <w:rPr>
          <w:b/>
          <w:color w:val="4F6228" w:themeColor="accent3" w:themeShade="80"/>
          <w:sz w:val="28"/>
          <w:szCs w:val="28"/>
          <w:u w:val="double"/>
        </w:rPr>
        <w:t>Concentration pulvérisable </w:t>
      </w:r>
      <w:r w:rsidR="00E97593" w:rsidRPr="002D40B1">
        <w:rPr>
          <w:b/>
          <w:color w:val="4F6228" w:themeColor="accent3" w:themeShade="80"/>
          <w:sz w:val="28"/>
          <w:szCs w:val="28"/>
          <w:u w:val="double"/>
        </w:rPr>
        <w:t>:</w:t>
      </w:r>
      <w:r w:rsidR="00E97593">
        <w:rPr>
          <w:color w:val="4F6228" w:themeColor="accent3" w:themeShade="80"/>
          <w:sz w:val="28"/>
          <w:szCs w:val="28"/>
        </w:rPr>
        <w:t xml:space="preserve"> </w:t>
      </w:r>
      <w:r w:rsidR="00E97593" w:rsidRPr="00E97593">
        <w:t>Suivant</w:t>
      </w:r>
      <w:r w:rsidR="00652050" w:rsidRPr="00652050">
        <w:t xml:space="preserve"> les</w:t>
      </w:r>
      <w:r w:rsidR="00652050">
        <w:t xml:space="preserve"> témoignages les concentrations varient de 2.5g à 10g par litre d’eau. Nous resterons sur un mélange à 5g/l, qui est suffisamment conce</w:t>
      </w:r>
      <w:r w:rsidR="002E4356">
        <w:t>ntré pour être efficace. Cela a</w:t>
      </w:r>
      <w:r w:rsidR="00652050">
        <w:t xml:space="preserve"> été observé </w:t>
      </w:r>
      <w:r w:rsidR="002E4356">
        <w:t xml:space="preserve"> et constater </w:t>
      </w:r>
      <w:r w:rsidR="00652050">
        <w:t>par le Dr Kenneth  Horst de l’université de Cornell au Etats Unis.</w:t>
      </w:r>
    </w:p>
    <w:p w:rsidR="00BE5572" w:rsidRPr="00E97593" w:rsidRDefault="00BB0E59">
      <w:pPr>
        <w:rPr>
          <w:b/>
          <w:color w:val="4F6228" w:themeColor="accent3" w:themeShade="80"/>
          <w:sz w:val="28"/>
          <w:szCs w:val="28"/>
          <w:u w:val="single"/>
        </w:rPr>
      </w:pPr>
      <w:r w:rsidRPr="002D40B1">
        <w:rPr>
          <w:b/>
          <w:color w:val="4F6228" w:themeColor="accent3" w:themeShade="80"/>
          <w:sz w:val="28"/>
          <w:szCs w:val="28"/>
          <w:u w:val="double"/>
        </w:rPr>
        <w:t>Préparation du mélange </w:t>
      </w:r>
      <w:r w:rsidR="00E97593" w:rsidRPr="002D40B1">
        <w:rPr>
          <w:b/>
          <w:color w:val="4F6228" w:themeColor="accent3" w:themeShade="80"/>
          <w:sz w:val="28"/>
          <w:szCs w:val="28"/>
          <w:u w:val="double"/>
        </w:rPr>
        <w:t>:</w:t>
      </w:r>
      <w:r w:rsidR="00E97593">
        <w:rPr>
          <w:color w:val="4F6228" w:themeColor="accent3" w:themeShade="80"/>
          <w:sz w:val="28"/>
          <w:szCs w:val="28"/>
        </w:rPr>
        <w:t xml:space="preserve"> </w:t>
      </w:r>
      <w:r w:rsidR="00E97593" w:rsidRPr="00E97593">
        <w:t>En</w:t>
      </w:r>
      <w:r w:rsidR="00BE5572">
        <w:t xml:space="preserve"> suivant la concentration énoncée ci-dessus mélanger le sel de bicarbonate de soude avec un peu d’eau, tourner jusqu’à dissolution complète. </w:t>
      </w:r>
      <w:r w:rsidR="00803E81">
        <w:t>Le sel de bicarbonate est lent à se dissoudre dans de l’eau à température ambiante. Donc</w:t>
      </w:r>
      <w:r w:rsidR="00BE5572">
        <w:t xml:space="preserve"> </w:t>
      </w:r>
      <w:r w:rsidR="00803E81">
        <w:t xml:space="preserve"> utilisez </w:t>
      </w:r>
      <w:r w:rsidR="00BE5572">
        <w:t xml:space="preserve"> </w:t>
      </w:r>
      <w:r w:rsidR="00803E81">
        <w:t>de l’eau en</w:t>
      </w:r>
      <w:r w:rsidR="00BE5572">
        <w:t>tre 40</w:t>
      </w:r>
      <w:r w:rsidR="00803E81">
        <w:t xml:space="preserve">° et 50° </w:t>
      </w:r>
      <w:r w:rsidR="00BE5572">
        <w:t>maxi. Car au-delàs de 50° il commence à avoir un dégagement de CO2. Donc pertes de volume et augmentation de la concentration.</w:t>
      </w:r>
    </w:p>
    <w:p w:rsidR="002D40B1" w:rsidRDefault="00BE5572">
      <w:r w:rsidRPr="002D40B1">
        <w:rPr>
          <w:b/>
          <w:color w:val="4F6228" w:themeColor="accent3" w:themeShade="80"/>
          <w:sz w:val="28"/>
          <w:szCs w:val="28"/>
          <w:u w:val="double"/>
        </w:rPr>
        <w:t>Quel volume préparer </w:t>
      </w:r>
      <w:r w:rsidR="00E97593" w:rsidRPr="002D40B1">
        <w:rPr>
          <w:b/>
          <w:color w:val="4F6228" w:themeColor="accent3" w:themeShade="80"/>
          <w:sz w:val="28"/>
          <w:szCs w:val="28"/>
          <w:u w:val="double"/>
        </w:rPr>
        <w:t>:</w:t>
      </w:r>
      <w:r w:rsidR="00E97593">
        <w:rPr>
          <w:color w:val="4F6228" w:themeColor="accent3" w:themeShade="80"/>
        </w:rPr>
        <w:t xml:space="preserve"> 2</w:t>
      </w:r>
      <w:r>
        <w:t xml:space="preserve"> l</w:t>
      </w:r>
      <w:r w:rsidR="001904B0">
        <w:t>itres de préparation couvrent</w:t>
      </w:r>
      <w:r>
        <w:t xml:space="preserve">  douze à quinze pieds selon leur volume de croissance.</w:t>
      </w:r>
      <w:r w:rsidR="002D40B1">
        <w:t xml:space="preserve"> </w:t>
      </w:r>
      <w:r w:rsidR="001904B0">
        <w:t xml:space="preserve">Il faut ajouter une petite cuiller à café de mouillant </w:t>
      </w:r>
      <w:bookmarkStart w:id="0" w:name="_GoBack"/>
      <w:bookmarkEnd w:id="0"/>
      <w:r w:rsidR="001904B0">
        <w:t>par litre en fin de préparation, homogénéiser le mélange et laisser refroidir avant utilisation.</w:t>
      </w:r>
      <w:r w:rsidR="00E97593">
        <w:t xml:space="preserve"> Le mouillant le plus adapté est le savon noir. Eviter de traiter sur les fleurs. </w:t>
      </w:r>
    </w:p>
    <w:p w:rsidR="00350AC0" w:rsidRPr="002D40B1" w:rsidRDefault="002D40B1">
      <w:pPr>
        <w:rPr>
          <w:color w:val="FF0000"/>
          <w:sz w:val="28"/>
          <w:szCs w:val="28"/>
        </w:rPr>
      </w:pPr>
      <w:r>
        <w:rPr>
          <w:color w:val="FF0000"/>
          <w:sz w:val="28"/>
          <w:szCs w:val="28"/>
        </w:rPr>
        <w:t xml:space="preserve">                                                 </w:t>
      </w:r>
      <w:r w:rsidR="00E97593" w:rsidRPr="002D40B1">
        <w:rPr>
          <w:color w:val="FF0000"/>
          <w:sz w:val="28"/>
          <w:szCs w:val="28"/>
        </w:rPr>
        <w:t>Ne pas traiter par fort ensoleillement</w:t>
      </w:r>
      <w:r>
        <w:rPr>
          <w:color w:val="FF0000"/>
          <w:sz w:val="28"/>
          <w:szCs w:val="28"/>
        </w:rPr>
        <w:t>.</w:t>
      </w:r>
    </w:p>
    <w:tbl>
      <w:tblPr>
        <w:tblStyle w:val="Grilledutableau"/>
        <w:tblW w:w="0" w:type="auto"/>
        <w:tblLook w:val="04A0" w:firstRow="1" w:lastRow="0" w:firstColumn="1" w:lastColumn="0" w:noHBand="0" w:noVBand="1"/>
      </w:tblPr>
      <w:tblGrid>
        <w:gridCol w:w="2267"/>
        <w:gridCol w:w="2944"/>
        <w:gridCol w:w="1591"/>
        <w:gridCol w:w="2268"/>
        <w:gridCol w:w="2268"/>
      </w:tblGrid>
      <w:tr w:rsidR="00DA0E01" w:rsidTr="003524DC">
        <w:trPr>
          <w:trHeight w:val="547"/>
        </w:trPr>
        <w:tc>
          <w:tcPr>
            <w:tcW w:w="11338" w:type="dxa"/>
            <w:gridSpan w:val="5"/>
          </w:tcPr>
          <w:p w:rsidR="00DA0E01" w:rsidRDefault="00DA0E01"/>
          <w:p w:rsidR="00DA0E01" w:rsidRPr="00DA0E01" w:rsidRDefault="00DA0E01">
            <w:pPr>
              <w:rPr>
                <w:sz w:val="36"/>
                <w:szCs w:val="36"/>
              </w:rPr>
            </w:pPr>
            <w:r>
              <w:t xml:space="preserve">                         </w:t>
            </w:r>
            <w:r w:rsidRPr="00DA0E01">
              <w:rPr>
                <w:sz w:val="36"/>
                <w:szCs w:val="36"/>
              </w:rPr>
              <w:t>Tableau des volumes</w:t>
            </w:r>
            <w:r>
              <w:rPr>
                <w:sz w:val="36"/>
                <w:szCs w:val="36"/>
              </w:rPr>
              <w:t xml:space="preserve"> utiles</w:t>
            </w:r>
            <w:r w:rsidRPr="00DA0E01">
              <w:rPr>
                <w:sz w:val="36"/>
                <w:szCs w:val="36"/>
              </w:rPr>
              <w:t xml:space="preserve"> pour la préparation de la solution</w:t>
            </w:r>
          </w:p>
        </w:tc>
      </w:tr>
      <w:tr w:rsidR="00DA0E01" w:rsidTr="00DA0E01">
        <w:tc>
          <w:tcPr>
            <w:tcW w:w="2267" w:type="dxa"/>
          </w:tcPr>
          <w:p w:rsidR="00DA0E01" w:rsidRDefault="00DA0E01">
            <w:r>
              <w:t>Volume souhaité</w:t>
            </w:r>
          </w:p>
        </w:tc>
        <w:tc>
          <w:tcPr>
            <w:tcW w:w="2944" w:type="dxa"/>
          </w:tcPr>
          <w:p w:rsidR="00DA0E01" w:rsidRDefault="00DA0E01">
            <w:r>
              <w:t>Volume pour dissolution</w:t>
            </w:r>
          </w:p>
        </w:tc>
        <w:tc>
          <w:tcPr>
            <w:tcW w:w="1591" w:type="dxa"/>
          </w:tcPr>
          <w:p w:rsidR="00DA0E01" w:rsidRDefault="00DA0E01">
            <w:r>
              <w:t xml:space="preserve">  Bicarbonate</w:t>
            </w:r>
          </w:p>
        </w:tc>
        <w:tc>
          <w:tcPr>
            <w:tcW w:w="2268" w:type="dxa"/>
          </w:tcPr>
          <w:p w:rsidR="00DA0E01" w:rsidRDefault="00DA0E01">
            <w:r>
              <w:t>Ajout d’eau froide</w:t>
            </w:r>
          </w:p>
        </w:tc>
        <w:tc>
          <w:tcPr>
            <w:tcW w:w="2268" w:type="dxa"/>
          </w:tcPr>
          <w:p w:rsidR="00DA0E01" w:rsidRDefault="00DA0E01">
            <w:r>
              <w:t xml:space="preserve"> Mouillant</w:t>
            </w:r>
          </w:p>
        </w:tc>
      </w:tr>
      <w:tr w:rsidR="00DA0E01" w:rsidTr="00DA0E01">
        <w:tc>
          <w:tcPr>
            <w:tcW w:w="2267" w:type="dxa"/>
          </w:tcPr>
          <w:p w:rsidR="00DA0E01" w:rsidRDefault="00DA0E01">
            <w:r>
              <w:t xml:space="preserve">                 1</w:t>
            </w:r>
            <w:r w:rsidR="00F70329">
              <w:t xml:space="preserve"> </w:t>
            </w:r>
            <w:r>
              <w:t>L</w:t>
            </w:r>
          </w:p>
        </w:tc>
        <w:tc>
          <w:tcPr>
            <w:tcW w:w="2944" w:type="dxa"/>
          </w:tcPr>
          <w:p w:rsidR="00DA0E01" w:rsidRDefault="00DA0E01">
            <w:r>
              <w:t xml:space="preserve">                       20 cl</w:t>
            </w:r>
          </w:p>
        </w:tc>
        <w:tc>
          <w:tcPr>
            <w:tcW w:w="1591" w:type="dxa"/>
          </w:tcPr>
          <w:p w:rsidR="00DA0E01" w:rsidRDefault="00DA0E01">
            <w:r>
              <w:t xml:space="preserve">         5 g</w:t>
            </w:r>
          </w:p>
        </w:tc>
        <w:tc>
          <w:tcPr>
            <w:tcW w:w="2268" w:type="dxa"/>
          </w:tcPr>
          <w:p w:rsidR="00DA0E01" w:rsidRDefault="00DA0E01">
            <w:r>
              <w:t xml:space="preserve">              80 cl</w:t>
            </w:r>
          </w:p>
        </w:tc>
        <w:tc>
          <w:tcPr>
            <w:tcW w:w="2268" w:type="dxa"/>
          </w:tcPr>
          <w:p w:rsidR="00DA0E01" w:rsidRDefault="00DA0E01">
            <w:r>
              <w:t xml:space="preserve"> 1 petite cuiller à café     </w:t>
            </w:r>
          </w:p>
        </w:tc>
      </w:tr>
      <w:tr w:rsidR="00DA0E01" w:rsidTr="00DA0E01">
        <w:tc>
          <w:tcPr>
            <w:tcW w:w="2267" w:type="dxa"/>
          </w:tcPr>
          <w:p w:rsidR="00DA0E01" w:rsidRDefault="00DA0E01">
            <w:r>
              <w:t xml:space="preserve">               </w:t>
            </w:r>
            <w:r w:rsidR="00F70329">
              <w:t xml:space="preserve"> </w:t>
            </w:r>
            <w:r>
              <w:t xml:space="preserve"> 2 L</w:t>
            </w:r>
          </w:p>
        </w:tc>
        <w:tc>
          <w:tcPr>
            <w:tcW w:w="2944" w:type="dxa"/>
          </w:tcPr>
          <w:p w:rsidR="00DA0E01" w:rsidRDefault="00DA0E01">
            <w:r>
              <w:t xml:space="preserve">                       40 cl</w:t>
            </w:r>
          </w:p>
        </w:tc>
        <w:tc>
          <w:tcPr>
            <w:tcW w:w="1591" w:type="dxa"/>
          </w:tcPr>
          <w:p w:rsidR="00DA0E01" w:rsidRDefault="00DA0E01">
            <w:r>
              <w:t xml:space="preserve">       10 g</w:t>
            </w:r>
          </w:p>
        </w:tc>
        <w:tc>
          <w:tcPr>
            <w:tcW w:w="2268" w:type="dxa"/>
          </w:tcPr>
          <w:p w:rsidR="00DA0E01" w:rsidRDefault="00DA0E01">
            <w:r>
              <w:t xml:space="preserve">            160 cl</w:t>
            </w:r>
          </w:p>
        </w:tc>
        <w:tc>
          <w:tcPr>
            <w:tcW w:w="2268" w:type="dxa"/>
          </w:tcPr>
          <w:p w:rsidR="00DA0E01" w:rsidRDefault="00DA0E01">
            <w:r>
              <w:t>2 petites cuillers à café</w:t>
            </w:r>
          </w:p>
        </w:tc>
      </w:tr>
      <w:tr w:rsidR="00DA0E01" w:rsidTr="00DA0E01">
        <w:tc>
          <w:tcPr>
            <w:tcW w:w="2267" w:type="dxa"/>
          </w:tcPr>
          <w:p w:rsidR="00DA0E01" w:rsidRDefault="00DA0E01">
            <w:r>
              <w:t xml:space="preserve">             </w:t>
            </w:r>
            <w:r w:rsidR="00F70329">
              <w:t xml:space="preserve"> </w:t>
            </w:r>
            <w:r>
              <w:t xml:space="preserve">   3 L</w:t>
            </w:r>
          </w:p>
        </w:tc>
        <w:tc>
          <w:tcPr>
            <w:tcW w:w="2944" w:type="dxa"/>
          </w:tcPr>
          <w:p w:rsidR="00DA0E01" w:rsidRDefault="00740F0E">
            <w:r>
              <w:t xml:space="preserve">                       5</w:t>
            </w:r>
            <w:r w:rsidR="00DA0E01">
              <w:t>0 cl</w:t>
            </w:r>
          </w:p>
        </w:tc>
        <w:tc>
          <w:tcPr>
            <w:tcW w:w="1591" w:type="dxa"/>
          </w:tcPr>
          <w:p w:rsidR="00DA0E01" w:rsidRDefault="00DA0E01">
            <w:r>
              <w:t xml:space="preserve">       15 g</w:t>
            </w:r>
          </w:p>
        </w:tc>
        <w:tc>
          <w:tcPr>
            <w:tcW w:w="2268" w:type="dxa"/>
          </w:tcPr>
          <w:p w:rsidR="00DA0E01" w:rsidRDefault="00DA0E01">
            <w:r>
              <w:t xml:space="preserve">            250 cl</w:t>
            </w:r>
          </w:p>
        </w:tc>
        <w:tc>
          <w:tcPr>
            <w:tcW w:w="2268" w:type="dxa"/>
          </w:tcPr>
          <w:p w:rsidR="00DA0E01" w:rsidRDefault="00F70329">
            <w:r>
              <w:t>2</w:t>
            </w:r>
            <w:r w:rsidR="00DA0E01">
              <w:t xml:space="preserve"> petites cuillers à café</w:t>
            </w:r>
          </w:p>
        </w:tc>
      </w:tr>
      <w:tr w:rsidR="00DA0E01" w:rsidTr="00DA0E01">
        <w:tc>
          <w:tcPr>
            <w:tcW w:w="2267" w:type="dxa"/>
          </w:tcPr>
          <w:p w:rsidR="00DA0E01" w:rsidRDefault="00DA0E01" w:rsidP="00F70329">
            <w:r>
              <w:t xml:space="preserve">          </w:t>
            </w:r>
            <w:r w:rsidR="00F70329">
              <w:t xml:space="preserve">  </w:t>
            </w:r>
            <w:r>
              <w:t xml:space="preserve">  </w:t>
            </w:r>
            <w:r w:rsidR="00F70329">
              <w:t xml:space="preserve"> </w:t>
            </w:r>
            <w:r>
              <w:t xml:space="preserve">  5 L</w:t>
            </w:r>
          </w:p>
        </w:tc>
        <w:tc>
          <w:tcPr>
            <w:tcW w:w="2944" w:type="dxa"/>
          </w:tcPr>
          <w:p w:rsidR="00DA0E01" w:rsidRDefault="00DA0E01">
            <w:r>
              <w:t xml:space="preserve">                       80 cl  </w:t>
            </w:r>
          </w:p>
        </w:tc>
        <w:tc>
          <w:tcPr>
            <w:tcW w:w="1591" w:type="dxa"/>
          </w:tcPr>
          <w:p w:rsidR="00DA0E01" w:rsidRDefault="00DA0E01">
            <w:r>
              <w:t xml:space="preserve">       25 g</w:t>
            </w:r>
          </w:p>
        </w:tc>
        <w:tc>
          <w:tcPr>
            <w:tcW w:w="2268" w:type="dxa"/>
          </w:tcPr>
          <w:p w:rsidR="00DA0E01" w:rsidRDefault="00DA0E01">
            <w:r>
              <w:t xml:space="preserve">            420 cl</w:t>
            </w:r>
          </w:p>
        </w:tc>
        <w:tc>
          <w:tcPr>
            <w:tcW w:w="2268" w:type="dxa"/>
          </w:tcPr>
          <w:p w:rsidR="00DA0E01" w:rsidRDefault="00F70329">
            <w:r>
              <w:t>3 petites cuillers à café</w:t>
            </w:r>
          </w:p>
        </w:tc>
      </w:tr>
    </w:tbl>
    <w:p w:rsidR="00E97593" w:rsidRPr="00E97593" w:rsidRDefault="00E97593"/>
    <w:sectPr w:rsidR="00E97593" w:rsidRPr="00E97593" w:rsidSect="00E97593">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C4"/>
    <w:rsid w:val="00142379"/>
    <w:rsid w:val="001904B0"/>
    <w:rsid w:val="00206A86"/>
    <w:rsid w:val="00271FCB"/>
    <w:rsid w:val="002D40B1"/>
    <w:rsid w:val="002E09FB"/>
    <w:rsid w:val="002E4356"/>
    <w:rsid w:val="00350AC0"/>
    <w:rsid w:val="00430EA7"/>
    <w:rsid w:val="00652050"/>
    <w:rsid w:val="00661A72"/>
    <w:rsid w:val="00740F0E"/>
    <w:rsid w:val="007C06B6"/>
    <w:rsid w:val="007D0ED3"/>
    <w:rsid w:val="00803E81"/>
    <w:rsid w:val="00B53D1F"/>
    <w:rsid w:val="00BB0E59"/>
    <w:rsid w:val="00BE5572"/>
    <w:rsid w:val="00C81692"/>
    <w:rsid w:val="00DA0E01"/>
    <w:rsid w:val="00E566C4"/>
    <w:rsid w:val="00E97593"/>
    <w:rsid w:val="00F70329"/>
    <w:rsid w:val="00FF25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7E00"/>
  <w15:docId w15:val="{9D480167-3BBD-4D3D-811E-EAF00C86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566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66C4"/>
    <w:rPr>
      <w:rFonts w:ascii="Tahoma" w:hAnsi="Tahoma" w:cs="Tahoma"/>
      <w:sz w:val="16"/>
      <w:szCs w:val="16"/>
    </w:rPr>
  </w:style>
  <w:style w:type="table" w:styleId="Grilledutableau">
    <w:name w:val="Table Grid"/>
    <w:basedOn w:val="TableauNormal"/>
    <w:uiPriority w:val="59"/>
    <w:rsid w:val="00E97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460</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CLAVE</cp:lastModifiedBy>
  <cp:revision>24</cp:revision>
  <dcterms:created xsi:type="dcterms:W3CDTF">2015-03-08T18:49:00Z</dcterms:created>
  <dcterms:modified xsi:type="dcterms:W3CDTF">2017-01-15T12:24:00Z</dcterms:modified>
</cp:coreProperties>
</file>